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p w:rsidR="000A7E54" w:rsidRPr="00870F91" w:rsidP="00D710BD" w14:paraId="63ACBB25" w14:textId="64925737">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da"/>
          <w:b w:val="1"/>
          <w:bCs w:val="1"/>
          <w:i w:val="0"/>
          <w:iCs w:val="0"/>
          <w:u w:val="none"/>
          <w:vertAlign w:val="baseline"/>
          <w:rtl w:val="0"/>
        </w:rPr>
        <w:t xml:space="preserve">PREFARENCER | Projektrapport september </w:t>
      </w:r>
    </w:p>
    <w:p w:rsidR="000A7E54" w:rsidP="000A7E54" w14:paraId="7494758C" w14:textId="77777777">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rsidR="000A7E54" w:rsidP="000A7E54" w14:paraId="7E6E6667" w14:textId="402BC1B6">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da"/>
          <w:b w:val="1"/>
          <w:bCs w:val="1"/>
          <w:i w:val="0"/>
          <w:iCs w:val="0"/>
          <w:u w:val="none"/>
          <w:vertAlign w:val="baseline"/>
          <w:rtl w:val="0"/>
        </w:rPr>
        <w:t xml:space="preserve">En unik boulderinghal i Škofja Loka med tag af tagspån</w:t>
      </w:r>
    </w:p>
    <w:p w:rsidR="000A7E54" w:rsidP="000A7E54" w14:paraId="6C5B8902" w14:textId="77777777">
      <w:pPr>
        <w:suppressAutoHyphens/>
        <w:spacing w:after="80"/>
        <w:jc w:val="both"/>
        <w:rPr>
          <w:rFonts w:ascii="ITC Slimbach LT CE Book" w:hAnsi="ITC Slimbach LT CE Book" w:cs="Arial"/>
        </w:rPr>
      </w:pPr>
    </w:p>
    <w:p w:rsidR="00DE6812" w:rsidP="00107D63" w14:paraId="5D6EC836" w14:textId="0C65B6B7">
      <w:pPr>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Marktl/Wasungen - Under ledelse af arkitekten Lucija Franko realiserede ARHITEKTURA PETERNEL en antracitfarvet boulderinghal i Pevno nær Škofja Loka, som efter forslag fra bygherren skulle udgøre hjørnestenen i et nyt sports- og turismelandskab i landsbyen. Takket være brugen af Prefas ​​DS.19 tagspån og sidings får den nye bygning et markant, ensartet udseende, der falder i øjnene på lang afstand.  </w:t>
      </w:r>
    </w:p>
    <w:p w:rsidR="0013187A" w:rsidP="000A7E54" w14:paraId="571F79D8" w14:textId="4990147E">
      <w:pPr>
        <w:jc w:val="both"/>
        <w:rPr>
          <w:rFonts w:ascii="ITC Slimbach LT CE Book" w:hAnsi="ITC Slimbach LT CE Book" w:cs="Arial"/>
          <w:b/>
          <w:bCs/>
        </w:rPr>
        <w:bidi w:val="0"/>
      </w:pPr>
      <w:r>
        <w:rPr>
          <w:rFonts w:ascii="ITC Slimbach LT CE Book" w:cs="Arial" w:hAnsi="ITC Slimbach LT CE Book"/>
          <w:lang w:val="da"/>
          <w:b w:val="1"/>
          <w:bCs w:val="1"/>
          <w:i w:val="0"/>
          <w:iCs w:val="0"/>
          <w:u w:val="none"/>
          <w:vertAlign w:val="baseline"/>
          <w:rtl w:val="0"/>
        </w:rPr>
        <w:t xml:space="preserve">Bestemt indefra og udefra</w:t>
      </w:r>
    </w:p>
    <w:p w:rsidR="007F5EC8" w:rsidP="000A7E54" w14:paraId="004BD816" w14:textId="79AA7F7F">
      <w:pPr>
        <w:jc w:val="both"/>
        <w:rPr>
          <w:rFonts w:ascii="ITC Slimbach LT CE Book" w:hAnsi="ITC Slimbach LT CE Book" w:cs="Arial"/>
        </w:rPr>
        <w:bidi w:val="0"/>
      </w:pPr>
      <w:r>
        <w:rPr>
          <w:rFonts w:ascii="ITC Slimbach LT CE Book" w:hAnsi="ITC Slimbach LT CE Book"/>
          <w:lang w:val="da"/>
          <w:b w:val="0"/>
          <w:bCs w:val="0"/>
          <w:i w:val="0"/>
          <w:iCs w:val="0"/>
          <w:u w:val="none"/>
          <w:vertAlign w:val="baseline"/>
          <w:rtl w:val="0"/>
        </w:rPr>
        <w:t xml:space="preserve">Den næsten vinduesløse bygning vender væk fra gaden og afslører ikke nogen tydelig brug set udefra. Bygningen ligner den lade, der engang stod på ejendommen, og som måtte rives ned i forbindelse med byggeprojektet, og leder dermed tankerne hen på de landlige omgivelser. Den følger gadens kurve i retningen mod landsbykirken og har en tredelt mur med et knæk som overgang til tagfladen. Bygningens usædvanlige form med de skrå vægge skyldes bouldervæggene, der fuldstændig former interiøret. Boulderinghallen er let genkendelig i den historiske landsby mellem de gamle høryttere, </w:t>
      </w:r>
      <w:r>
        <w:rPr>
          <w:lang w:val="da"/>
          <w:b w:val="0"/>
          <w:bCs w:val="0"/>
          <w:i w:val="0"/>
          <w:iCs w:val="0"/>
          <w:u w:val="none"/>
          <w:vertAlign w:val="baseline"/>
          <w:rtl w:val="0"/>
        </w:rPr>
        <w:t xml:space="preserve">de høstativer, der er typiske for regionen, hvorpå græs tørres til hø,</w:t>
      </w:r>
      <w:r>
        <w:rPr>
          <w:rFonts w:ascii="ITC Slimbach LT CE Book" w:hAnsi="ITC Slimbach LT CE Book"/>
          <w:lang w:val="da"/>
          <w:b w:val="0"/>
          <w:bCs w:val="0"/>
          <w:i w:val="0"/>
          <w:iCs w:val="0"/>
          <w:u w:val="none"/>
          <w:vertAlign w:val="baseline"/>
          <w:rtl w:val="0"/>
        </w:rPr>
        <w:t xml:space="preserve">. Den er næsten helt indkapslet i mørkegrå aluminiumsspån, kun forsiderne har en varm træfacade. Facadens hermetiske karakter fremhævesaf de høje vinduer, og tagspånenes mørke antracit danner en kontrast til det lysebrune lærketræ.</w:t>
      </w:r>
    </w:p>
    <w:p w:rsidR="000A7E54" w:rsidRPr="004F5006" w:rsidP="000A7E54" w14:paraId="330370B0" w14:textId="7A3B6010">
      <w:pPr>
        <w:jc w:val="both"/>
        <w:rPr>
          <w:rFonts w:ascii="ITC Slimbach LT CE Book" w:hAnsi="ITC Slimbach LT CE Book" w:cs="Arial"/>
          <w:b/>
          <w:bCs/>
        </w:rPr>
        <w:bidi w:val="0"/>
      </w:pPr>
      <w:r>
        <w:rPr>
          <w:rFonts w:ascii="ITC Slimbach LT CE Book" w:cs="Arial" w:hAnsi="ITC Slimbach LT CE Book"/>
          <w:lang w:val="da"/>
          <w:b w:val="1"/>
          <w:bCs w:val="1"/>
          <w:i w:val="0"/>
          <w:iCs w:val="0"/>
          <w:u w:val="none"/>
          <w:vertAlign w:val="baseline"/>
          <w:rtl w:val="0"/>
        </w:rPr>
        <w:t xml:space="preserve">En særlig facade</w:t>
      </w:r>
    </w:p>
    <w:p w:rsidR="005F0524" w:rsidRPr="00B97B3D" w:rsidP="00B97B3D" w14:paraId="5875C184" w14:textId="2EFC2D51">
      <w:pPr>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Tomo Zadravec fra ZA&amp;TO ved, at boulders kræver en speciel arkitektur og tilsvarende konstruerede lokaler. Den boulderbegejstrede håndværker og hans team stod for implementeringen af ​​tagspånsfacaden i Škofja Loka og tilkaldte eksterne montører på grund af projektets størrelse. Zadravec var især begejstret for det store tagareal, der dækker cirka 700 m², da han før dette projekt aldrig havde lagt så stort et areal. Inden for meget kort tid fastgjorde et hold på otte de strukturerede tagspån til taget, hvis underkonstruktion var beskyttet af et folietag mod omskifteligt vejr i hele installationsperioden. Målet var at skabe en "smuk, præcis overflade" med en sømløs overgang fra tag til facade. Det kunne håndværkerholdet opnå med et så højt kvalitetsniveau, at aluminium på taget og facaden "er som en hud, der beskytter en krop", understreger Tomo Zadravec.</w:t>
      </w:r>
    </w:p>
    <w:p w:rsidR="005F0524" w:rsidP="000A7E54" w14:paraId="52D76323" w14:textId="1B633A65">
      <w:pPr>
        <w:spacing w:after="0" w:line="312" w:lineRule="auto"/>
        <w:jc w:val="both"/>
        <w:rPr>
          <w:rFonts w:ascii="ITC Slimbach LT CE Book" w:hAnsi="ITC Slimbach LT CE Book" w:cs="Arial"/>
          <w:sz w:val="16"/>
          <w:szCs w:val="16"/>
        </w:rPr>
      </w:pPr>
    </w:p>
    <w:p w:rsidR="00B97B3D" w:rsidRPr="00555CC9" w:rsidP="000A7E54" w14:paraId="48C3F07C" w14:textId="77777777">
      <w:pPr>
        <w:spacing w:after="0" w:line="312" w:lineRule="auto"/>
        <w:jc w:val="both"/>
        <w:rPr>
          <w:rFonts w:ascii="ITC Slimbach LT CE Book" w:hAnsi="ITC Slimbach LT CE Book" w:cs="Arial"/>
          <w:sz w:val="16"/>
          <w:szCs w:val="16"/>
        </w:rPr>
      </w:pPr>
    </w:p>
    <w:p w:rsidR="000A7E54" w:rsidP="000A7E54" w14:paraId="7026CBEA" w14:textId="77777777">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Materiale:</w:t>
      </w:r>
    </w:p>
    <w:p w:rsidR="000A7E54" w:rsidP="000A7E54" w14:paraId="1B69CE0A" w14:textId="011CFF22">
      <w:pPr>
        <w:spacing w:after="0" w:line="312" w:lineRule="auto"/>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Tagspån DS.19, siding</w:t>
      </w:r>
    </w:p>
    <w:p w:rsidR="000A7E54" w:rsidP="000A7E54" w14:paraId="45121D30" w14:textId="43C52273">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da"/>
          <w:b w:val="0"/>
          <w:bCs w:val="0"/>
          <w:i w:val="0"/>
          <w:iCs w:val="0"/>
          <w:u w:val="none"/>
          <w:vertAlign w:val="baseline"/>
          <w:rtl w:val="0"/>
        </w:rPr>
        <w:t xml:space="preserve">P.10 Antracit</w:t>
      </w:r>
    </w:p>
    <w:p w:rsidR="000A7E54" w:rsidP="000A7E54" w14:paraId="62F6A62F" w14:textId="77777777">
      <w:pPr>
        <w:spacing w:after="0" w:line="312" w:lineRule="auto"/>
        <w:jc w:val="both"/>
        <w:rPr>
          <w:rFonts w:ascii="ITC Slimbach LT CE Book" w:hAnsi="ITC Slimbach LT CE Book" w:cs="Arial"/>
          <w:sz w:val="16"/>
          <w:szCs w:val="16"/>
        </w:rPr>
      </w:pPr>
    </w:p>
    <w:p w:rsidR="000A7E54" w:rsidRPr="00FB71E4" w:rsidP="000A7E54" w14:paraId="2B523A8F" w14:textId="77777777">
      <w:pPr>
        <w:spacing w:after="0" w:line="312" w:lineRule="auto"/>
        <w:jc w:val="both"/>
        <w:rPr>
          <w:rFonts w:ascii="ITC Slimbach LT CE Book" w:hAnsi="ITC Slimbach LT CE Book" w:cs="Arial"/>
          <w:sz w:val="16"/>
          <w:szCs w:val="16"/>
        </w:rPr>
      </w:pPr>
    </w:p>
    <w:p w:rsidR="000A7E54" w:rsidP="000A7E54" w14:paraId="0C9D3F7E" w14:textId="3029FCA8">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Kort resumé: I Pevno, Slovenien, nær Škofja Loka, realiserede ARHITEKTURA PETERNEL en boulderinghal med DS.19 tagshingles og siding, som formelt minder om en lade og imponerer med sit markante udseende. Takket være brugen af ​​den rolige, mørke farve P.10 antracit opstår der en kontrast til det lysebrune træ på forsiderne. Med tagspånene kunne der skabes en glidende overgang mellem tag og facade, hvilket skabte effekten af en ensartet hud. </w:t>
      </w:r>
    </w:p>
    <w:p w:rsidR="00497F9A" w:rsidP="00497F9A" w14:paraId="77F51C76" w14:textId="77777777">
      <w:pPr>
        <w:spacing w:after="0" w:line="312" w:lineRule="auto"/>
        <w:jc w:val="both"/>
        <w:rPr>
          <w:rFonts w:ascii="ITC Slimbach LT CE Book" w:hAnsi="ITC Slimbach LT CE Book" w:cs="Arial"/>
          <w:sz w:val="16"/>
          <w:szCs w:val="16"/>
        </w:rPr>
      </w:pPr>
    </w:p>
    <w:p w:rsidR="00497F9A" w:rsidRPr="00FB71E4" w:rsidP="00497F9A" w14:paraId="1151C9EA" w14:textId="77777777">
      <w:pPr>
        <w:spacing w:after="0" w:line="312" w:lineRule="auto"/>
        <w:jc w:val="both"/>
        <w:rPr>
          <w:rFonts w:ascii="ITC Slimbach LT CE Book" w:hAnsi="ITC Slimbach LT CE Book" w:cs="Arial"/>
          <w:sz w:val="16"/>
          <w:szCs w:val="16"/>
        </w:rPr>
      </w:pPr>
    </w:p>
    <w:p w:rsidR="00497F9A" w:rsidP="00497F9A" w14:paraId="09BBD0FB" w14:textId="49424091">
      <w:pPr>
        <w:spacing w:after="0"/>
        <w:jc w:val="both"/>
        <w:rPr>
          <w:rFonts w:ascii="ITC Slimbach LT CE Book" w:hAnsi="ITC Slimbach LT CE Book" w:cs="Arial"/>
        </w:rPr>
        <w:bidi w:val="0"/>
      </w:pPr>
      <w:r>
        <w:rPr>
          <w:rFonts w:ascii="ITC Slimbach LT CE Book" w:cs="Arial" w:hAnsi="ITC Slimbach LT CE Book"/>
          <w:lang w:val="da"/>
          <w:b w:val="0"/>
          <w:bCs w:val="0"/>
          <w:i w:val="0"/>
          <w:iCs w:val="0"/>
          <w:u w:val="none"/>
          <w:vertAlign w:val="baseline"/>
          <w:rtl w:val="0"/>
        </w:rPr>
        <w:t xml:space="preserve">Kort om Prefa: Prefa Aluminiumprodukte GmbH har i over 70 år haft succes med udvikling, produktion og afsætning af tag- og facadesystemer i aluminium. Prefa-koncernen beskæftiger i alt ca. 640 medarbejdere. De mere end 5.000 produkter af høj kvalitet produceres udelukkende i Østrig og Tyskland. Prefa er en del af industrikoncernen Dr. Cornelius Grupp, der beskæftiger mere end 8.000 medarbejdere i hele verden på mere end 40 produktionssteder.</w:t>
      </w:r>
    </w:p>
    <w:p w:rsidR="006D2978" w:rsidP="00497F9A" w14:paraId="0DB3E35B" w14:textId="4925C405">
      <w:pPr>
        <w:spacing w:after="0"/>
        <w:jc w:val="both"/>
        <w:rPr>
          <w:rFonts w:ascii="ITC Slimbach LT CE Book" w:hAnsi="ITC Slimbach LT CE Book" w:cs="Arial"/>
        </w:rPr>
      </w:pPr>
    </w:p>
    <w:p w:rsidR="006D2978" w:rsidRPr="006D2978" w:rsidP="00497F9A" w14:paraId="6EC34180" w14:textId="084C9BCC">
      <w:pPr>
        <w:spacing w:after="0"/>
        <w:jc w:val="both"/>
        <w:rPr>
          <w:rFonts w:ascii="ITC Slimbach LT CE Book" w:hAnsi="ITC Slimbach LT CE Book" w:cs="Arial"/>
          <w:b/>
          <w:u w:val="single"/>
        </w:rPr>
        <w:bidi w:val="0"/>
      </w:pPr>
      <w:r>
        <w:rPr>
          <w:rFonts w:ascii="ITC Slimbach LT CE Book" w:cs="Arial" w:hAnsi="ITC Slimbach LT CE Book"/>
          <w:lang w:val="da"/>
          <w:b w:val="1"/>
          <w:bCs w:val="1"/>
          <w:i w:val="0"/>
          <w:iCs w:val="0"/>
          <w:u w:val="single"/>
          <w:vertAlign w:val="baseline"/>
          <w:rtl w:val="0"/>
        </w:rPr>
        <w:t xml:space="preserve">Billeder af projektet kan downloades her:</w:t>
      </w:r>
    </w:p>
    <w:p w:rsidR="006D2978" w:rsidP="00497F9A" w14:paraId="48DDC2DE" w14:textId="33AB766F">
      <w:pPr>
        <w:spacing w:after="0"/>
        <w:jc w:val="both"/>
        <w:rPr>
          <w:rFonts w:ascii="ITC Slimbach LT CE Book" w:hAnsi="ITC Slimbach LT CE Book" w:cs="Arial"/>
        </w:rPr>
        <w:bidi w:val="0"/>
      </w:pPr>
      <w:hyperlink r:id="rId7" w:history="1">
        <w:r>
          <w:rPr>
            <w:rStyle w:val="Hyperlink"/>
            <w:rFonts w:ascii="ITC Slimbach LT CE Book" w:cs="Arial" w:hAnsi="ITC Slimbach LT CE Book"/>
            <w:lang w:val="da"/>
            <w:b w:val="0"/>
            <w:bCs w:val="0"/>
            <w:i w:val="0"/>
            <w:iCs w:val="0"/>
            <w:u w:val="single"/>
            <w:vertAlign w:val="baseline"/>
            <w:rtl w:val="0"/>
          </w:rPr>
          <w:t xml:space="preserve">https://brx522.saas.contentserv.com/admin/share/2beda57e</w:t>
        </w:r>
      </w:hyperlink>
    </w:p>
    <w:p w:rsidR="006D2978" w:rsidRPr="00870F91" w:rsidP="00497F9A" w14:paraId="1DE1CDD7" w14:textId="77777777">
      <w:pPr>
        <w:spacing w:after="0"/>
        <w:jc w:val="both"/>
        <w:rPr>
          <w:rFonts w:ascii="ITC Slimbach LT CE Book" w:hAnsi="ITC Slimbach LT CE Book" w:cs="Arial"/>
        </w:rPr>
      </w:pPr>
    </w:p>
    <w:p w:rsidR="000A7E54" w:rsidRPr="006D2978" w:rsidP="000A7E54" w14:paraId="7741D55F" w14:textId="77777777">
      <w:pPr>
        <w:spacing w:after="0" w:line="312" w:lineRule="auto"/>
        <w:jc w:val="both"/>
        <w:rPr>
          <w:rFonts w:ascii="ITC Slimbach LT CE Book" w:hAnsi="ITC Slimbach LT CE Book" w:cs="Arial"/>
          <w:b/>
          <w:sz w:val="22"/>
          <w:szCs w:val="22"/>
        </w:rPr>
        <w:bidi w:val="0"/>
      </w:pPr>
      <w:r>
        <w:rPr>
          <w:rFonts w:ascii="ITC Slimbach LT CE Book" w:cs="Arial" w:hAnsi="ITC Slimbach LT CE Book"/>
          <w:sz w:val="22"/>
          <w:szCs w:val="22"/>
          <w:lang w:val="da"/>
          <w:b w:val="1"/>
          <w:bCs w:val="1"/>
          <w:i w:val="0"/>
          <w:iCs w:val="0"/>
          <w:u w:val="none"/>
          <w:vertAlign w:val="baseline"/>
          <w:rtl w:val="0"/>
        </w:rPr>
        <w:t xml:space="preserve">Fotokredit: </w:t>
      </w:r>
      <w:r>
        <w:rPr>
          <w:rFonts w:ascii="ITC Slimbach LT CE Book" w:cs="Arial" w:hAnsi="ITC Slimbach LT CE Book"/>
          <w:sz w:val="22"/>
          <w:szCs w:val="22"/>
          <w:lang w:val="da"/>
          <w:b w:val="1"/>
          <w:bCs w:val="1"/>
          <w:i w:val="0"/>
          <w:iCs w:val="0"/>
          <w:u w:val="none"/>
          <w:vertAlign w:val="baseline"/>
          <w:rtl w:val="0"/>
        </w:rPr>
        <w:t xml:space="preserve">PREFA | Croce &amp; Wir</w:t>
      </w:r>
    </w:p>
    <w:bookmarkEnd w:id="6"/>
    <w:p w:rsidR="000A7E54" w:rsidRPr="00870F91" w:rsidP="000A7E54" w14:paraId="33A39818" w14:textId="77777777">
      <w:pPr>
        <w:spacing w:after="0" w:line="312" w:lineRule="auto"/>
        <w:jc w:val="both"/>
        <w:rPr>
          <w:rFonts w:ascii="ITC Slimbach LT CE Book" w:hAnsi="ITC Slimbach LT CE Book" w:cs="Arial"/>
          <w:sz w:val="16"/>
          <w:szCs w:val="16"/>
        </w:rPr>
      </w:pPr>
    </w:p>
    <w:p w:rsidR="000A7E54" w:rsidRPr="00870F91" w:rsidP="000A7E54" w14:paraId="260EB0DB" w14:textId="77777777">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5"/>
      <w:bookmarkEnd w:id="4"/>
      <w:bookmarkEnd w:id="3"/>
      <w:bookmarkEnd w:id="2"/>
    </w:p>
    <w:p w:rsidR="000A7E54" w:rsidRPr="00870F91" w:rsidP="000A7E54" w14:paraId="1CA376C3" w14:textId="77777777">
      <w:pPr>
        <w:spacing w:after="0"/>
        <w:rPr>
          <w:rFonts w:ascii="ITC Slimbach LT CE Book" w:hAnsi="ITC Slimbach LT CE Book" w:cs="Arial"/>
          <w:b/>
          <w:bCs/>
          <w:u w:val="single"/>
        </w:rPr>
        <w:bidi w:val="0"/>
      </w:pPr>
      <w:bookmarkStart w:id="11" w:name="OLE_LINK32"/>
      <w:bookmarkStart w:id="12" w:name="OLE_LINK33"/>
      <w:bookmarkStart w:id="13" w:name="OLE_LINK36"/>
      <w:r>
        <w:rPr>
          <w:rFonts w:ascii="ITC Slimbach LT CE Book" w:cs="Arial" w:hAnsi="ITC Slimbach LT CE Book"/>
          <w:lang w:val="da"/>
          <w:b w:val="1"/>
          <w:bCs w:val="1"/>
          <w:i w:val="0"/>
          <w:iCs w:val="0"/>
          <w:u w:val="single"/>
          <w:vertAlign w:val="baseline"/>
          <w:rtl w:val="0"/>
        </w:rPr>
        <w:t xml:space="preserve">Presseinformation international:</w:t>
      </w:r>
    </w:p>
    <w:p w:rsidR="000A7E54" w:rsidRPr="00870F91" w:rsidP="000A7E54" w14:paraId="460FC8F8"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Mag. (FH) Jürgen Jungmair, MSc.</w:t>
      </w:r>
    </w:p>
    <w:p w:rsidR="000A7E54" w:rsidRPr="00870F91" w:rsidP="000A7E54" w14:paraId="669D996C"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International markedsføringsledelse</w:t>
      </w:r>
    </w:p>
    <w:p w:rsidR="000A7E54" w:rsidRPr="00870F91" w:rsidP="000A7E54" w14:paraId="4713C170"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PREFA Aluminiumprodukte GmbH</w:t>
      </w:r>
    </w:p>
    <w:p w:rsidR="000A7E54" w:rsidRPr="00870F91" w:rsidP="000A7E54" w14:paraId="5BF0D388"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Werkstraße 1, A-3182 Marktl/Lilienfeld</w:t>
      </w:r>
    </w:p>
    <w:p w:rsidR="000A7E54" w:rsidRPr="00870F91" w:rsidP="000A7E54" w14:paraId="40EFED2F" w14:textId="77777777">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da"/>
          <w:b w:val="0"/>
          <w:bCs w:val="0"/>
          <w:i w:val="0"/>
          <w:iCs w:val="0"/>
          <w:u w:val="none"/>
          <w:vertAlign w:val="baseline"/>
          <w:rtl w:val="0"/>
        </w:rPr>
        <w:t xml:space="preserve">Tlf.: +43 2762 502-801</w:t>
      </w:r>
    </w:p>
    <w:p w:rsidR="000A7E54" w:rsidRPr="00870F91" w:rsidP="000A7E54" w14:paraId="4F6B09AD"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Mobil: +43 664 965 46 70</w:t>
      </w:r>
    </w:p>
    <w:bookmarkEnd w:id="14"/>
    <w:bookmarkEnd w:id="15"/>
    <w:p w:rsidR="000A7E54" w:rsidRPr="00870F91" w:rsidP="000A7E54" w14:paraId="585F1760"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E-mail: juergen.jungmair@prefa.com</w:t>
      </w:r>
    </w:p>
    <w:p w:rsidR="000A7E54" w:rsidRPr="00870F91" w:rsidP="000A7E54" w14:paraId="53109C6F" w14:textId="77777777">
      <w:pPr>
        <w:rPr>
          <w:rStyle w:val="Hyperlink"/>
          <w:rFonts w:ascii="ITC Slimbach LT CE Book" w:hAnsi="ITC Slimbach LT CE Book" w:cs="Arial"/>
          <w:bCs/>
        </w:rPr>
        <w:bidi w:val="0"/>
      </w:pPr>
      <w:hyperlink r:id="rId8" w:history="1">
        <w:r>
          <w:rPr>
            <w:rStyle w:val="Hyperlink"/>
            <w:rFonts w:ascii="ITC Slimbach LT CE Book" w:cs="Arial" w:hAnsi="ITC Slimbach LT CE Book"/>
            <w:lang w:val="da"/>
            <w:b w:val="0"/>
            <w:bCs w:val="0"/>
            <w:i w:val="0"/>
            <w:iCs w:val="0"/>
            <w:u w:val="single"/>
            <w:vertAlign w:val="baseline"/>
            <w:rtl w:val="0"/>
          </w:rPr>
          <w:t xml:space="preserve">https://www.prefa.at/</w:t>
        </w:r>
      </w:hyperlink>
    </w:p>
    <w:bookmarkEnd w:id="0"/>
    <w:bookmarkEnd w:id="1"/>
    <w:bookmarkEnd w:id="7"/>
    <w:bookmarkEnd w:id="8"/>
    <w:bookmarkEnd w:id="9"/>
    <w:bookmarkEnd w:id="10"/>
    <w:bookmarkEnd w:id="11"/>
    <w:bookmarkEnd w:id="12"/>
    <w:bookmarkEnd w:id="13"/>
    <w:p w:rsidR="000A7E54" w:rsidRPr="00870F91" w:rsidP="000A7E54" w14:paraId="3F4E3101" w14:textId="77777777">
      <w:pPr>
        <w:spacing w:after="0"/>
        <w:rPr>
          <w:rFonts w:ascii="ITC Slimbach LT CE Book" w:hAnsi="ITC Slimbach LT CE Book" w:cs="Arial"/>
          <w:b/>
          <w:bCs/>
          <w:u w:val="single"/>
        </w:rPr>
        <w:bidi w:val="0"/>
      </w:pPr>
      <w:r>
        <w:rPr>
          <w:rFonts w:ascii="ITC Slimbach LT CE Book" w:cs="Arial" w:hAnsi="ITC Slimbach LT CE Book"/>
          <w:lang w:val="da"/>
          <w:b w:val="1"/>
          <w:bCs w:val="1"/>
          <w:i w:val="0"/>
          <w:iCs w:val="0"/>
          <w:u w:val="single"/>
          <w:vertAlign w:val="baseline"/>
          <w:rtl w:val="0"/>
        </w:rPr>
        <w:t xml:space="preserve">Presseinformation Tyskland:</w:t>
      </w:r>
    </w:p>
    <w:p w:rsidR="000A7E54" w:rsidRPr="00870F91" w:rsidP="000A7E54" w14:paraId="35BAD5AC"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Alexandra Bendel-Doell</w:t>
      </w:r>
    </w:p>
    <w:p w:rsidR="000A7E54" w:rsidRPr="00870F91" w:rsidP="000A7E54" w14:paraId="5BA3E6F3"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Markedsføringsledelse</w:t>
      </w:r>
    </w:p>
    <w:p w:rsidR="000A7E54" w:rsidRPr="00870F91" w:rsidP="000A7E54" w14:paraId="39DFCC59"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PREFA GmbH Alu-Dächer und -Fassaden</w:t>
      </w:r>
    </w:p>
    <w:p w:rsidR="000A7E54" w:rsidRPr="00870F91" w:rsidP="000A7E54" w14:paraId="59AF4487" w14:textId="77777777">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da"/>
          <w:b w:val="0"/>
          <w:bCs w:val="0"/>
          <w:i w:val="0"/>
          <w:iCs w:val="0"/>
          <w:u w:val="none"/>
          <w:vertAlign w:val="baseline"/>
          <w:rtl w:val="0"/>
        </w:rPr>
        <w:t xml:space="preserve">Aluminiumstraße 2, D-98634 Wasungen</w:t>
      </w:r>
    </w:p>
    <w:p w:rsidR="000A7E54" w:rsidRPr="00870F91" w:rsidP="000A7E54" w14:paraId="33E4D2D9"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Tlf.: +49 36941 785 10</w:t>
      </w:r>
    </w:p>
    <w:bookmarkEnd w:id="16"/>
    <w:bookmarkEnd w:id="17"/>
    <w:p w:rsidR="000A7E54" w:rsidRPr="00870F91" w:rsidP="000A7E54" w14:paraId="6C79A692" w14:textId="77777777">
      <w:pPr>
        <w:spacing w:after="0"/>
        <w:rPr>
          <w:rFonts w:ascii="ITC Slimbach LT CE Book" w:hAnsi="ITC Slimbach LT CE Book" w:cs="Arial"/>
          <w:bCs/>
        </w:rPr>
        <w:bidi w:val="0"/>
      </w:pPr>
      <w:r>
        <w:rPr>
          <w:rFonts w:ascii="ITC Slimbach LT CE Book" w:cs="Arial" w:hAnsi="ITC Slimbach LT CE Book"/>
          <w:lang w:val="da"/>
          <w:b w:val="0"/>
          <w:bCs w:val="0"/>
          <w:i w:val="0"/>
          <w:iCs w:val="0"/>
          <w:u w:val="none"/>
          <w:vertAlign w:val="baseline"/>
          <w:rtl w:val="0"/>
        </w:rPr>
        <w:t xml:space="preserve">E-mail: alexandra.bendel-doell@prefa.com</w:t>
      </w:r>
    </w:p>
    <w:p w:rsidR="0041446A" w14:paraId="39D2BBF0" w14:textId="1FED9CF1">
      <w:pPr>
        <w:bidi w:val="0"/>
      </w:pPr>
      <w:hyperlink r:id="rId8" w:history="1">
        <w:r>
          <w:rPr>
            <w:rStyle w:val="Hyperlink"/>
            <w:rFonts w:ascii="ITC Slimbach LT CE Book" w:cs="Arial" w:hAnsi="ITC Slimbach LT CE Book"/>
            <w:lang w:val="da"/>
            <w:b w:val="0"/>
            <w:bCs w:val="0"/>
            <w:i w:val="0"/>
            <w:iCs w:val="0"/>
            <w:u w:val="single"/>
            <w:vertAlign w:val="baseline"/>
            <w:rtl w:val="0"/>
          </w:rPr>
          <w:t xml:space="preserve">https://www.prefa.de/</w:t>
        </w:r>
      </w:hyperlink>
    </w:p>
    <w:sectPr>
      <w:headerReference w:type="default" r:id="rI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518" w14:paraId="77816321" w14:textId="77777777">
    <w:pPr>
      <w:pStyle w:val="Header"/>
      <w:bidi w:val="0"/>
    </w:pPr>
    <w:r>
      <w:rPr>
        <w:noProof/>
        <w:lang w:val="da"/>
        <w:b w:val="0"/>
        <w:bCs w:val="0"/>
        <w:i w:val="0"/>
        <w:iCs w:val="0"/>
        <w:u w:val="none"/>
        <w:vertAlign w:val="baseline"/>
        <w:rtl w:val="0"/>
      </w:rPr>
      <w:drawing>
        <wp:inline distT="0" distB="0" distL="0" distR="0">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99661"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72033" cy="682172"/>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oll Veronika">
    <w15:presenceInfo w15:providerId="AD" w15:userId="S-1-5-21-2012308927-606173405-868425949-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54"/>
    <w:rsid w:val="0001566F"/>
    <w:rsid w:val="00024080"/>
    <w:rsid w:val="00054E76"/>
    <w:rsid w:val="00056ABF"/>
    <w:rsid w:val="000A7E54"/>
    <w:rsid w:val="000B38F1"/>
    <w:rsid w:val="000C3348"/>
    <w:rsid w:val="001000D5"/>
    <w:rsid w:val="00106467"/>
    <w:rsid w:val="00107D63"/>
    <w:rsid w:val="001226A3"/>
    <w:rsid w:val="00127363"/>
    <w:rsid w:val="0013187A"/>
    <w:rsid w:val="00170997"/>
    <w:rsid w:val="001A7854"/>
    <w:rsid w:val="001D2BBC"/>
    <w:rsid w:val="001E0D7E"/>
    <w:rsid w:val="001E7296"/>
    <w:rsid w:val="00207033"/>
    <w:rsid w:val="002417D2"/>
    <w:rsid w:val="002674FC"/>
    <w:rsid w:val="002B2F0F"/>
    <w:rsid w:val="002D053E"/>
    <w:rsid w:val="002E4973"/>
    <w:rsid w:val="00331254"/>
    <w:rsid w:val="0035791F"/>
    <w:rsid w:val="003A5FA7"/>
    <w:rsid w:val="003F7FFE"/>
    <w:rsid w:val="00411C35"/>
    <w:rsid w:val="0041446A"/>
    <w:rsid w:val="0043639B"/>
    <w:rsid w:val="00440C34"/>
    <w:rsid w:val="00493E82"/>
    <w:rsid w:val="00497F9A"/>
    <w:rsid w:val="004B21F7"/>
    <w:rsid w:val="004C42FF"/>
    <w:rsid w:val="004F5006"/>
    <w:rsid w:val="004F719B"/>
    <w:rsid w:val="00555CC9"/>
    <w:rsid w:val="005A5536"/>
    <w:rsid w:val="005F0524"/>
    <w:rsid w:val="00635C6A"/>
    <w:rsid w:val="00643B85"/>
    <w:rsid w:val="0065034C"/>
    <w:rsid w:val="00657060"/>
    <w:rsid w:val="006936EA"/>
    <w:rsid w:val="006D098E"/>
    <w:rsid w:val="006D2978"/>
    <w:rsid w:val="006E72AF"/>
    <w:rsid w:val="00771B8D"/>
    <w:rsid w:val="007770D7"/>
    <w:rsid w:val="007A2EC9"/>
    <w:rsid w:val="007F5EC8"/>
    <w:rsid w:val="00813D50"/>
    <w:rsid w:val="0082068C"/>
    <w:rsid w:val="008506D7"/>
    <w:rsid w:val="00870F91"/>
    <w:rsid w:val="008C07F6"/>
    <w:rsid w:val="008C0FC2"/>
    <w:rsid w:val="008E2AC9"/>
    <w:rsid w:val="00926E3F"/>
    <w:rsid w:val="009305F0"/>
    <w:rsid w:val="00947A5C"/>
    <w:rsid w:val="009524D0"/>
    <w:rsid w:val="00954D0E"/>
    <w:rsid w:val="009E2924"/>
    <w:rsid w:val="00A14349"/>
    <w:rsid w:val="00A46D0D"/>
    <w:rsid w:val="00A51A7E"/>
    <w:rsid w:val="00A8389C"/>
    <w:rsid w:val="00AA2EE5"/>
    <w:rsid w:val="00AC74E0"/>
    <w:rsid w:val="00AF7B0E"/>
    <w:rsid w:val="00B21852"/>
    <w:rsid w:val="00B22301"/>
    <w:rsid w:val="00B67A0A"/>
    <w:rsid w:val="00B9171E"/>
    <w:rsid w:val="00B94F3F"/>
    <w:rsid w:val="00B97B3D"/>
    <w:rsid w:val="00BD0D80"/>
    <w:rsid w:val="00BD5506"/>
    <w:rsid w:val="00BF3394"/>
    <w:rsid w:val="00C27A4C"/>
    <w:rsid w:val="00C64982"/>
    <w:rsid w:val="00C67C15"/>
    <w:rsid w:val="00C72501"/>
    <w:rsid w:val="00C81962"/>
    <w:rsid w:val="00D24486"/>
    <w:rsid w:val="00D710BD"/>
    <w:rsid w:val="00D87338"/>
    <w:rsid w:val="00DE6812"/>
    <w:rsid w:val="00DF2288"/>
    <w:rsid w:val="00E021F7"/>
    <w:rsid w:val="00E13408"/>
    <w:rsid w:val="00E17E1D"/>
    <w:rsid w:val="00E200DA"/>
    <w:rsid w:val="00E255BE"/>
    <w:rsid w:val="00E711A9"/>
    <w:rsid w:val="00E81A7B"/>
    <w:rsid w:val="00EA3EE8"/>
    <w:rsid w:val="00EA5A3A"/>
    <w:rsid w:val="00EC5DB5"/>
    <w:rsid w:val="00ED485E"/>
    <w:rsid w:val="00EF7518"/>
    <w:rsid w:val="00F056D5"/>
    <w:rsid w:val="00F17A78"/>
    <w:rsid w:val="00F32FD3"/>
    <w:rsid w:val="00F5607E"/>
    <w:rsid w:val="00FB71E4"/>
    <w:rsid w:val="00FC4496"/>
  </w:rsids>
  <m:mathPr>
    <m:mathFont m:val="Cambria Math"/>
  </m:mathPr>
  <w:themeFontLang w:val="de-AT"/>
  <w:clrSchemeMapping w:bg1="light1" w:t1="dark1" w:bg2="light2" w:t2="dark2" w:accent1="accent1" w:accent2="accent2" w:accent3="accent3" w:accent4="accent4" w:accent5="accent5" w:accent6="accent6" w:hyperlink="hyperlink" w:followedHyperlink="followedHyperlink"/>
  <w15:chartTrackingRefBased/>
  <w15:docId w15:val="{F7C02D91-2551-174B-AA4A-8304313C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hAnsi="Helvetica" w:eastAsiaTheme="minorHAnsi"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E54"/>
    <w:pPr>
      <w:spacing w:after="200" w:line="276" w:lineRule="auto"/>
    </w:pPr>
    <w:rPr>
      <w:rFonts w:asciiTheme="minorHAnsi" w:eastAsiaTheme="minorEastAsia" w:hAnsiTheme="minorHAnsi" w:cstheme="minorBidi"/>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1">
    <w:name w:val="Formatvorlage1"/>
    <w:basedOn w:val="Normal"/>
    <w:qFormat/>
    <w:rsid w:val="00813D50"/>
    <w:pPr>
      <w:spacing w:after="0" w:line="240" w:lineRule="auto"/>
    </w:pPr>
    <w:rPr>
      <w:rFonts w:ascii="Helvetica" w:hAnsi="Helvetica" w:eastAsiaTheme="minorHAnsi" w:cs="Times New Roman (Textkörper CS)"/>
      <w:lang w:val="de-AT" w:eastAsia="en-US"/>
    </w:rPr>
  </w:style>
  <w:style w:type="character" w:styleId="Hyperlink">
    <w:name w:val="Hyperlink"/>
    <w:basedOn w:val="DefaultParagraphFont"/>
    <w:uiPriority w:val="99"/>
    <w:unhideWhenUsed/>
    <w:rsid w:val="000A7E54"/>
    <w:rPr>
      <w:rFonts w:ascii="Verdana" w:hAnsi="Verdana" w:hint="default"/>
      <w:color w:val="CC0000"/>
      <w:u w:val="single"/>
    </w:rPr>
  </w:style>
  <w:style w:type="paragraph" w:styleId="Header">
    <w:name w:val="header"/>
    <w:basedOn w:val="Normal"/>
    <w:link w:val="KopfzeileZchn"/>
    <w:uiPriority w:val="99"/>
    <w:unhideWhenUsed/>
    <w:rsid w:val="000A7E54"/>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0A7E54"/>
    <w:rPr>
      <w:rFonts w:asciiTheme="minorHAnsi" w:eastAsiaTheme="minorEastAsia" w:hAnsiTheme="minorHAnsi" w:cstheme="minorBidi"/>
      <w:szCs w:val="22"/>
      <w:lang w:val="de-DE" w:eastAsia="de-DE"/>
    </w:rPr>
  </w:style>
  <w:style w:type="character" w:styleId="CommentReference">
    <w:name w:val="annotation reference"/>
    <w:basedOn w:val="DefaultParagraphFont"/>
    <w:uiPriority w:val="99"/>
    <w:semiHidden/>
    <w:unhideWhenUsed/>
    <w:rsid w:val="00FC4496"/>
    <w:rPr>
      <w:sz w:val="16"/>
      <w:szCs w:val="16"/>
    </w:rPr>
  </w:style>
  <w:style w:type="paragraph" w:styleId="CommentText">
    <w:name w:val="annotation text"/>
    <w:basedOn w:val="Normal"/>
    <w:link w:val="KommentartextZchn"/>
    <w:uiPriority w:val="99"/>
    <w:semiHidden/>
    <w:unhideWhenUsed/>
    <w:rsid w:val="00FC4496"/>
    <w:pPr>
      <w:spacing w:line="240" w:lineRule="auto"/>
    </w:pPr>
    <w:rPr>
      <w:sz w:val="20"/>
      <w:szCs w:val="20"/>
    </w:rPr>
  </w:style>
  <w:style w:type="character" w:customStyle="1" w:styleId="KommentartextZchn">
    <w:name w:val="Kommentartext Zchn"/>
    <w:basedOn w:val="DefaultParagraphFont"/>
    <w:link w:val="CommentText"/>
    <w:uiPriority w:val="99"/>
    <w:semiHidden/>
    <w:rsid w:val="00FC4496"/>
    <w:rPr>
      <w:rFonts w:asciiTheme="minorHAnsi" w:eastAsiaTheme="minorEastAsia" w:hAnsiTheme="minorHAnsi" w:cstheme="minorBidi"/>
      <w:sz w:val="20"/>
      <w:szCs w:val="20"/>
      <w:lang w:val="de-DE" w:eastAsia="de-DE"/>
    </w:rPr>
  </w:style>
  <w:style w:type="paragraph" w:styleId="CommentSubject">
    <w:name w:val="annotation subject"/>
    <w:basedOn w:val="CommentText"/>
    <w:next w:val="CommentText"/>
    <w:link w:val="KommentarthemaZchn"/>
    <w:uiPriority w:val="99"/>
    <w:semiHidden/>
    <w:unhideWhenUsed/>
    <w:rsid w:val="00FC4496"/>
    <w:rPr>
      <w:b/>
      <w:bCs/>
    </w:rPr>
  </w:style>
  <w:style w:type="character" w:customStyle="1" w:styleId="KommentarthemaZchn">
    <w:name w:val="Kommentarthema Zchn"/>
    <w:basedOn w:val="KommentartextZchn"/>
    <w:link w:val="CommentSubject"/>
    <w:uiPriority w:val="99"/>
    <w:semiHidden/>
    <w:rsid w:val="00FC4496"/>
    <w:rPr>
      <w:rFonts w:asciiTheme="minorHAnsi" w:eastAsiaTheme="minorEastAsia" w:hAnsiTheme="minorHAnsi" w:cstheme="minorBidi"/>
      <w:b/>
      <w:bCs/>
      <w:sz w:val="20"/>
      <w:szCs w:val="20"/>
      <w:lang w:val="de-DE" w:eastAsia="de-DE"/>
    </w:rPr>
  </w:style>
  <w:style w:type="paragraph" w:styleId="Revision">
    <w:name w:val="Revision"/>
    <w:hidden/>
    <w:uiPriority w:val="99"/>
    <w:semiHidden/>
    <w:rsid w:val="00D710BD"/>
    <w:rPr>
      <w:rFonts w:asciiTheme="minorHAnsi" w:eastAsiaTheme="minorEastAsia" w:hAnsiTheme="minorHAnsi" w:cstheme="minorBidi"/>
      <w:szCs w:val="22"/>
      <w:lang w:val="de-DE" w:eastAsia="de-DE"/>
    </w:rPr>
  </w:style>
  <w:style w:type="paragraph" w:styleId="BalloonText">
    <w:name w:val="Balloon Text"/>
    <w:basedOn w:val="Normal"/>
    <w:link w:val="SprechblasentextZchn"/>
    <w:uiPriority w:val="99"/>
    <w:semiHidden/>
    <w:unhideWhenUsed/>
    <w:rsid w:val="006D2978"/>
    <w:pPr>
      <w:spacing w:after="0"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6D2978"/>
    <w:rPr>
      <w:rFonts w:ascii="Segoe UI" w:hAnsi="Segoe UI" w:eastAsiaTheme="minorEastAsia"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ode="External" Target="https://brx522.saas.contentserv.com/admin/share/2beda57e" /><Relationship Id="rId8" Type="http://schemas.openxmlformats.org/officeDocument/2006/relationships/hyperlink" TargetMode="External" Target="about:blank"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D65F0-DD9B-4E0A-AE5F-9701BE86D6C6}">
  <ds:schemaRefs/>
</ds:datastoreItem>
</file>

<file path=customXml/itemProps2.xml><?xml version="1.0" encoding="utf-8"?>
<ds:datastoreItem xmlns:ds="http://schemas.openxmlformats.org/officeDocument/2006/customXml" ds:itemID="{C50C091F-55D0-4962-8B10-C464E2437AD2}">
  <ds:schemaRefs/>
</ds:datastoreItem>
</file>

<file path=customXml/itemProps3.xml><?xml version="1.0" encoding="utf-8"?>
<ds:datastoreItem xmlns:ds="http://schemas.openxmlformats.org/officeDocument/2006/customXml" ds:itemID="{C53363E1-265E-4320-9203-1202E3B0A9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Roll Veronika</cp:lastModifiedBy>
  <cp:revision>3</cp:revision>
  <dcterms:created xsi:type="dcterms:W3CDTF">2022-03-09T06:13:00Z</dcterms:created>
  <dcterms:modified xsi:type="dcterms:W3CDTF">2022-03-09T06:23:00Z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